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416" w:rsidRDefault="00AC7416"/>
    <w:tbl>
      <w:tblPr>
        <w:tblStyle w:val="Tabela-Siatka"/>
        <w:tblW w:w="0" w:type="auto"/>
        <w:tblLook w:val="04A0" w:firstRow="1" w:lastRow="0" w:firstColumn="1" w:lastColumn="0" w:noHBand="0" w:noVBand="1"/>
      </w:tblPr>
      <w:tblGrid>
        <w:gridCol w:w="1404"/>
        <w:gridCol w:w="2960"/>
        <w:gridCol w:w="3569"/>
        <w:gridCol w:w="1690"/>
        <w:gridCol w:w="1547"/>
        <w:gridCol w:w="1726"/>
        <w:gridCol w:w="1098"/>
      </w:tblGrid>
      <w:tr w:rsidR="00BF2D6B" w:rsidTr="00327D7B">
        <w:tc>
          <w:tcPr>
            <w:tcW w:w="13994" w:type="dxa"/>
            <w:gridSpan w:val="7"/>
            <w:shd w:val="clear" w:color="auto" w:fill="E2EFD9" w:themeFill="accent6" w:themeFillTint="33"/>
          </w:tcPr>
          <w:p w:rsidR="00BF2D6B" w:rsidRPr="00AC7416" w:rsidRDefault="00AC7416" w:rsidP="00AC7416">
            <w:pPr>
              <w:jc w:val="center"/>
              <w:rPr>
                <w:b/>
              </w:rPr>
            </w:pPr>
            <w:r w:rsidRPr="00AC7416">
              <w:rPr>
                <w:b/>
              </w:rPr>
              <w:t>HARMONOGRAM NABORÓW WNIOSKÓW O PRZYZNANIE POMOCY NA ROK 2024</w:t>
            </w:r>
          </w:p>
          <w:p w:rsidR="00AC7416" w:rsidRDefault="00AC7416" w:rsidP="00AC7416">
            <w:pPr>
              <w:jc w:val="center"/>
              <w:rPr>
                <w:b/>
              </w:rPr>
            </w:pPr>
            <w:r w:rsidRPr="00AC7416">
              <w:rPr>
                <w:b/>
              </w:rPr>
              <w:t>LOKALNEJ GRUPY DZIAŁANIA „WARMIŃSKI ZAKĄTEK”</w:t>
            </w:r>
          </w:p>
          <w:p w:rsidR="00AC7416" w:rsidRDefault="00AC7416" w:rsidP="00AC7416">
            <w:pPr>
              <w:jc w:val="center"/>
            </w:pPr>
          </w:p>
        </w:tc>
      </w:tr>
      <w:tr w:rsidR="00F5576A" w:rsidTr="002C7140">
        <w:tc>
          <w:tcPr>
            <w:tcW w:w="1404" w:type="dxa"/>
            <w:shd w:val="clear" w:color="auto" w:fill="E2EFD9" w:themeFill="accent6" w:themeFillTint="33"/>
          </w:tcPr>
          <w:p w:rsidR="00F5576A" w:rsidRDefault="00F5576A">
            <w:r>
              <w:t>Obszar geograficzny</w:t>
            </w:r>
          </w:p>
        </w:tc>
        <w:tc>
          <w:tcPr>
            <w:tcW w:w="12590" w:type="dxa"/>
            <w:gridSpan w:val="6"/>
            <w:shd w:val="clear" w:color="auto" w:fill="E2EFD9" w:themeFill="accent6" w:themeFillTint="33"/>
          </w:tcPr>
          <w:p w:rsidR="00F5576A" w:rsidRDefault="00F5576A">
            <w:r>
              <w:t>Gmina Dywity, Gmina Dobre Miasto, Gmina Jeziorany, Gmina Orneta, Gmina Lubomino, Gmina wiejska Lidzbark Warmiński, Gmina miejska Lidzbark Warmiński, Gmina Kiwity, Gmina Bisztynek, Gmina wiejska Bartoszyce, Gmina wiejska Górowo Iławeckie, Gmina miejska Górowo Iławeckie</w:t>
            </w:r>
          </w:p>
        </w:tc>
      </w:tr>
      <w:tr w:rsidR="00F5576A" w:rsidTr="002C7140">
        <w:tc>
          <w:tcPr>
            <w:tcW w:w="1404" w:type="dxa"/>
            <w:tcBorders>
              <w:bottom w:val="single" w:sz="4" w:space="0" w:color="auto"/>
            </w:tcBorders>
            <w:shd w:val="clear" w:color="auto" w:fill="E2EFD9" w:themeFill="accent6" w:themeFillTint="33"/>
          </w:tcPr>
          <w:p w:rsidR="00F5576A" w:rsidRDefault="00F5576A">
            <w:r>
              <w:t>Kod i nazwa interwencji</w:t>
            </w:r>
          </w:p>
        </w:tc>
        <w:tc>
          <w:tcPr>
            <w:tcW w:w="12590" w:type="dxa"/>
            <w:gridSpan w:val="6"/>
            <w:tcBorders>
              <w:bottom w:val="single" w:sz="4" w:space="0" w:color="auto"/>
            </w:tcBorders>
            <w:shd w:val="clear" w:color="auto" w:fill="E2EFD9" w:themeFill="accent6" w:themeFillTint="33"/>
          </w:tcPr>
          <w:p w:rsidR="00F5576A" w:rsidRDefault="00F5576A">
            <w:r>
              <w:t>1.13.1 LEADER / Rozwój Lokalny Kierowany przez Społeczność (RLKS) PS WPR na lata 2023 - 2027</w:t>
            </w:r>
          </w:p>
        </w:tc>
      </w:tr>
      <w:tr w:rsidR="002C7140" w:rsidTr="008E55CD">
        <w:trPr>
          <w:trHeight w:val="1430"/>
        </w:trPr>
        <w:tc>
          <w:tcPr>
            <w:tcW w:w="1404" w:type="dxa"/>
            <w:tcBorders>
              <w:bottom w:val="single" w:sz="4" w:space="0" w:color="auto"/>
            </w:tcBorders>
            <w:shd w:val="clear" w:color="auto" w:fill="E2EFD9" w:themeFill="accent6" w:themeFillTint="33"/>
            <w:vAlign w:val="center"/>
          </w:tcPr>
          <w:p w:rsidR="00F5576A" w:rsidRDefault="00F5576A" w:rsidP="00F5576A">
            <w:pPr>
              <w:jc w:val="center"/>
            </w:pPr>
            <w:r>
              <w:t>CEL</w:t>
            </w:r>
          </w:p>
        </w:tc>
        <w:tc>
          <w:tcPr>
            <w:tcW w:w="2960" w:type="dxa"/>
            <w:shd w:val="clear" w:color="auto" w:fill="E2EFD9" w:themeFill="accent6" w:themeFillTint="33"/>
            <w:vAlign w:val="center"/>
          </w:tcPr>
          <w:p w:rsidR="00F5576A" w:rsidRDefault="00F5576A" w:rsidP="00F5576A">
            <w:pPr>
              <w:jc w:val="center"/>
            </w:pPr>
            <w:r>
              <w:t>PRZEDSIĘWZIĘCIE</w:t>
            </w:r>
          </w:p>
        </w:tc>
        <w:tc>
          <w:tcPr>
            <w:tcW w:w="3569" w:type="dxa"/>
            <w:shd w:val="clear" w:color="auto" w:fill="E2EFD9" w:themeFill="accent6" w:themeFillTint="33"/>
            <w:vAlign w:val="center"/>
          </w:tcPr>
          <w:p w:rsidR="00F5576A" w:rsidRDefault="00F5576A" w:rsidP="00F5576A">
            <w:pPr>
              <w:jc w:val="center"/>
            </w:pPr>
            <w:r>
              <w:t>WSKAŹNIK</w:t>
            </w:r>
          </w:p>
        </w:tc>
        <w:tc>
          <w:tcPr>
            <w:tcW w:w="1690" w:type="dxa"/>
            <w:shd w:val="clear" w:color="auto" w:fill="E2EFD9" w:themeFill="accent6" w:themeFillTint="33"/>
            <w:vAlign w:val="center"/>
          </w:tcPr>
          <w:p w:rsidR="00F5576A" w:rsidRDefault="00F5576A" w:rsidP="00F5576A">
            <w:pPr>
              <w:jc w:val="center"/>
            </w:pPr>
            <w:r>
              <w:t>PODMIOT UPRAWNIONY DO UBIEGANIA SIĘ O PRZYZNANIE POMOCY</w:t>
            </w:r>
          </w:p>
        </w:tc>
        <w:tc>
          <w:tcPr>
            <w:tcW w:w="1547" w:type="dxa"/>
            <w:shd w:val="clear" w:color="auto" w:fill="E2EFD9" w:themeFill="accent6" w:themeFillTint="33"/>
            <w:vAlign w:val="center"/>
          </w:tcPr>
          <w:p w:rsidR="00F5576A" w:rsidRDefault="00F5576A" w:rsidP="00F5576A">
            <w:pPr>
              <w:jc w:val="center"/>
            </w:pPr>
            <w:r>
              <w:t>TERMIN NABORU WNIOSKÓW</w:t>
            </w:r>
          </w:p>
        </w:tc>
        <w:tc>
          <w:tcPr>
            <w:tcW w:w="1726" w:type="dxa"/>
            <w:shd w:val="clear" w:color="auto" w:fill="E2EFD9" w:themeFill="accent6" w:themeFillTint="33"/>
            <w:vAlign w:val="center"/>
          </w:tcPr>
          <w:p w:rsidR="00F5576A" w:rsidRDefault="00F5576A" w:rsidP="00F5576A">
            <w:pPr>
              <w:jc w:val="center"/>
            </w:pPr>
            <w:r>
              <w:t>PRZEWIDYWANY LIMIT ŚRODKÓW (EURO)</w:t>
            </w:r>
          </w:p>
        </w:tc>
        <w:tc>
          <w:tcPr>
            <w:tcW w:w="1098" w:type="dxa"/>
            <w:shd w:val="clear" w:color="auto" w:fill="E2EFD9" w:themeFill="accent6" w:themeFillTint="33"/>
            <w:vAlign w:val="center"/>
          </w:tcPr>
          <w:p w:rsidR="00F5576A" w:rsidRDefault="00F5576A" w:rsidP="00F5576A">
            <w:pPr>
              <w:jc w:val="center"/>
            </w:pPr>
            <w:r>
              <w:t>RODZAJ OPERACJI</w:t>
            </w:r>
          </w:p>
        </w:tc>
      </w:tr>
      <w:tr w:rsidR="00BF2D6B" w:rsidTr="008E55CD">
        <w:trPr>
          <w:trHeight w:val="840"/>
        </w:trPr>
        <w:tc>
          <w:tcPr>
            <w:tcW w:w="1404" w:type="dxa"/>
            <w:vMerge w:val="restart"/>
            <w:shd w:val="clear" w:color="auto" w:fill="E2EFD9" w:themeFill="accent6" w:themeFillTint="33"/>
            <w:textDirection w:val="btLr"/>
            <w:vAlign w:val="center"/>
          </w:tcPr>
          <w:p w:rsidR="00BF2D6B" w:rsidRDefault="00BF2D6B" w:rsidP="00063FF3">
            <w:pPr>
              <w:ind w:left="113" w:right="113"/>
            </w:pPr>
            <w:bookmarkStart w:id="0" w:name="_GoBack" w:colFirst="5" w:colLast="5"/>
            <w:r>
              <w:rPr>
                <w:rFonts w:cstheme="minorHAnsi"/>
                <w:b/>
              </w:rPr>
              <w:t>ZRÓWNOWAŻONA PRZEDSIĘBIORCZOŚĆ I INNOWACJE</w:t>
            </w:r>
          </w:p>
          <w:p w:rsidR="00BF2D6B" w:rsidRDefault="00BF2D6B" w:rsidP="00063FF3">
            <w:pPr>
              <w:ind w:left="113" w:right="113"/>
            </w:pPr>
          </w:p>
        </w:tc>
        <w:tc>
          <w:tcPr>
            <w:tcW w:w="2960" w:type="dxa"/>
            <w:vMerge w:val="restart"/>
          </w:tcPr>
          <w:p w:rsidR="00BF2D6B" w:rsidRDefault="00BF2D6B" w:rsidP="00551752">
            <w:r>
              <w:rPr>
                <w:rFonts w:cstheme="minorHAnsi"/>
              </w:rPr>
              <w:t>P.I.1 - PODEJMOWANIE POZAROLNICZEJ DZIAŁALNOŚCI GOSPODARCZEJ - Rozwój przedsiębiorczości, w tym rozwój zielonej gospodarki</w:t>
            </w:r>
          </w:p>
        </w:tc>
        <w:tc>
          <w:tcPr>
            <w:tcW w:w="3569" w:type="dxa"/>
          </w:tcPr>
          <w:p w:rsidR="00BF2D6B" w:rsidRDefault="00BF2D6B" w:rsidP="00551752">
            <w:pPr>
              <w:rPr>
                <w:rFonts w:ascii="Calibri" w:hAnsi="Calibri" w:cs="Calibri"/>
              </w:rPr>
            </w:pPr>
            <w:r>
              <w:rPr>
                <w:rFonts w:ascii="Calibri" w:hAnsi="Calibri" w:cs="Calibri"/>
                <w:color w:val="000000"/>
              </w:rPr>
              <w:t>Liczba operacji polegających na utworzeniu nowej działalności gospodarczej – operacje nieinnowacyjne</w:t>
            </w:r>
          </w:p>
        </w:tc>
        <w:tc>
          <w:tcPr>
            <w:tcW w:w="1690" w:type="dxa"/>
            <w:vMerge w:val="restart"/>
          </w:tcPr>
          <w:p w:rsidR="00BF2D6B" w:rsidRDefault="00BF2D6B" w:rsidP="00551752">
            <w:r>
              <w:t>Osoba fizyczna</w:t>
            </w:r>
          </w:p>
        </w:tc>
        <w:tc>
          <w:tcPr>
            <w:tcW w:w="1547" w:type="dxa"/>
            <w:vMerge w:val="restart"/>
          </w:tcPr>
          <w:p w:rsidR="00BF2D6B" w:rsidRDefault="00BF2D6B" w:rsidP="00551752"/>
          <w:p w:rsidR="00BF2D6B" w:rsidRDefault="00BF2D6B" w:rsidP="00551752"/>
          <w:p w:rsidR="00BF2D6B" w:rsidRDefault="00BF2D6B" w:rsidP="00551752"/>
          <w:p w:rsidR="00BF2D6B" w:rsidRDefault="00BF2D6B" w:rsidP="00551752"/>
          <w:p w:rsidR="00BF2D6B" w:rsidRDefault="00BF2D6B" w:rsidP="00551752"/>
          <w:p w:rsidR="00BF2D6B" w:rsidRDefault="00BF2D6B" w:rsidP="00551752"/>
          <w:p w:rsidR="00BF2D6B" w:rsidRDefault="008E55CD" w:rsidP="008E55CD">
            <w:pPr>
              <w:jc w:val="center"/>
            </w:pPr>
            <w:r>
              <w:t>___</w:t>
            </w:r>
          </w:p>
        </w:tc>
        <w:tc>
          <w:tcPr>
            <w:tcW w:w="1726" w:type="dxa"/>
            <w:vMerge w:val="restart"/>
          </w:tcPr>
          <w:p w:rsidR="00BF2D6B" w:rsidRDefault="008E55CD" w:rsidP="008E55CD">
            <w:pPr>
              <w:jc w:val="center"/>
            </w:pPr>
            <w:r>
              <w:t>0,00</w:t>
            </w:r>
          </w:p>
        </w:tc>
        <w:tc>
          <w:tcPr>
            <w:tcW w:w="1098" w:type="dxa"/>
            <w:vMerge w:val="restart"/>
            <w:vAlign w:val="center"/>
          </w:tcPr>
          <w:p w:rsidR="00BF2D6B" w:rsidRPr="00063FF3" w:rsidRDefault="00BF2D6B" w:rsidP="00063FF3">
            <w:pPr>
              <w:jc w:val="center"/>
              <w:rPr>
                <w:rFonts w:ascii="Arial Narrow" w:hAnsi="Arial Narrow"/>
                <w:sz w:val="24"/>
                <w:szCs w:val="24"/>
              </w:rPr>
            </w:pPr>
            <w:r w:rsidRPr="00063FF3">
              <w:rPr>
                <w:rFonts w:ascii="Arial Narrow" w:hAnsi="Arial Narrow"/>
                <w:sz w:val="24"/>
                <w:szCs w:val="24"/>
              </w:rPr>
              <w:t>Operacje klasyczne</w:t>
            </w:r>
          </w:p>
        </w:tc>
      </w:tr>
      <w:tr w:rsidR="00BF2D6B" w:rsidTr="008E55CD">
        <w:trPr>
          <w:trHeight w:val="765"/>
        </w:trPr>
        <w:tc>
          <w:tcPr>
            <w:tcW w:w="1404" w:type="dxa"/>
            <w:vMerge/>
            <w:shd w:val="clear" w:color="auto" w:fill="E2EFD9" w:themeFill="accent6" w:themeFillTint="33"/>
            <w:textDirection w:val="btLr"/>
          </w:tcPr>
          <w:p w:rsidR="00BF2D6B" w:rsidRDefault="00BF2D6B" w:rsidP="00063FF3">
            <w:pPr>
              <w:ind w:left="113" w:right="113"/>
              <w:rPr>
                <w:rFonts w:cstheme="minorHAnsi"/>
                <w:b/>
              </w:rPr>
            </w:pPr>
          </w:p>
        </w:tc>
        <w:tc>
          <w:tcPr>
            <w:tcW w:w="2960" w:type="dxa"/>
            <w:vMerge/>
          </w:tcPr>
          <w:p w:rsidR="00BF2D6B" w:rsidRDefault="00BF2D6B" w:rsidP="00551752">
            <w:pPr>
              <w:rPr>
                <w:rFonts w:cstheme="minorHAnsi"/>
              </w:rPr>
            </w:pPr>
          </w:p>
        </w:tc>
        <w:tc>
          <w:tcPr>
            <w:tcW w:w="3569" w:type="dxa"/>
          </w:tcPr>
          <w:p w:rsidR="00BF2D6B" w:rsidRDefault="00BF2D6B" w:rsidP="00551752">
            <w:pPr>
              <w:rPr>
                <w:rFonts w:ascii="Calibri" w:hAnsi="Calibri" w:cs="Calibri"/>
              </w:rPr>
            </w:pPr>
            <w:r>
              <w:rPr>
                <w:rFonts w:ascii="Calibri" w:hAnsi="Calibri" w:cs="Calibri"/>
                <w:color w:val="000000"/>
              </w:rPr>
              <w:t>Liczba operacji polegających na utworzeniu nowej działalności gospodarczej – operacje innowacyjne</w:t>
            </w:r>
          </w:p>
        </w:tc>
        <w:tc>
          <w:tcPr>
            <w:tcW w:w="1690" w:type="dxa"/>
            <w:vMerge/>
          </w:tcPr>
          <w:p w:rsidR="00BF2D6B" w:rsidRDefault="00BF2D6B" w:rsidP="00551752"/>
        </w:tc>
        <w:tc>
          <w:tcPr>
            <w:tcW w:w="1547" w:type="dxa"/>
            <w:vMerge/>
          </w:tcPr>
          <w:p w:rsidR="00BF2D6B" w:rsidRDefault="00BF2D6B" w:rsidP="00551752"/>
        </w:tc>
        <w:tc>
          <w:tcPr>
            <w:tcW w:w="1726" w:type="dxa"/>
            <w:vMerge/>
          </w:tcPr>
          <w:p w:rsidR="00BF2D6B" w:rsidRDefault="00BF2D6B" w:rsidP="00551752"/>
        </w:tc>
        <w:tc>
          <w:tcPr>
            <w:tcW w:w="1098" w:type="dxa"/>
            <w:vMerge/>
            <w:vAlign w:val="center"/>
          </w:tcPr>
          <w:p w:rsidR="00BF2D6B" w:rsidRPr="00063FF3" w:rsidRDefault="00BF2D6B" w:rsidP="00063FF3">
            <w:pPr>
              <w:jc w:val="center"/>
              <w:rPr>
                <w:rFonts w:ascii="Arial Narrow" w:hAnsi="Arial Narrow"/>
                <w:sz w:val="24"/>
                <w:szCs w:val="24"/>
              </w:rPr>
            </w:pPr>
          </w:p>
        </w:tc>
      </w:tr>
      <w:tr w:rsidR="008E55CD" w:rsidTr="008E55CD">
        <w:tc>
          <w:tcPr>
            <w:tcW w:w="1404" w:type="dxa"/>
            <w:vMerge/>
            <w:shd w:val="clear" w:color="auto" w:fill="E2EFD9" w:themeFill="accent6" w:themeFillTint="33"/>
            <w:textDirection w:val="btLr"/>
          </w:tcPr>
          <w:p w:rsidR="008E55CD" w:rsidRDefault="008E55CD" w:rsidP="008E55CD">
            <w:pPr>
              <w:ind w:left="113" w:right="113"/>
            </w:pPr>
          </w:p>
        </w:tc>
        <w:tc>
          <w:tcPr>
            <w:tcW w:w="2960" w:type="dxa"/>
          </w:tcPr>
          <w:p w:rsidR="008E55CD" w:rsidRDefault="008E55CD" w:rsidP="008E55CD">
            <w:r>
              <w:rPr>
                <w:rFonts w:ascii="Calibri" w:hAnsi="Calibri" w:cs="Calibri"/>
              </w:rPr>
              <w:t xml:space="preserve">P.I.2 </w:t>
            </w:r>
            <w:r>
              <w:rPr>
                <w:rFonts w:cstheme="minorHAnsi"/>
              </w:rPr>
              <w:t>ROZWIJANIE POZAROLNICZEJ DZIAŁALNOŚCI GOSPODARCZEJ  - Rozwój przedsiębiorczości, w tym rozwój zielonej gospodarki</w:t>
            </w:r>
          </w:p>
        </w:tc>
        <w:tc>
          <w:tcPr>
            <w:tcW w:w="3569" w:type="dxa"/>
          </w:tcPr>
          <w:p w:rsidR="008E55CD" w:rsidRDefault="008E55CD" w:rsidP="008E55CD">
            <w:r>
              <w:rPr>
                <w:rFonts w:ascii="Calibri" w:hAnsi="Calibri" w:cs="Calibri"/>
                <w:color w:val="000000"/>
              </w:rPr>
              <w:t>Liczba operacji polegających na rozwinięciu działalności gospodarczej</w:t>
            </w:r>
          </w:p>
        </w:tc>
        <w:tc>
          <w:tcPr>
            <w:tcW w:w="1690" w:type="dxa"/>
          </w:tcPr>
          <w:p w:rsidR="008E55CD" w:rsidRDefault="008E55CD" w:rsidP="008E55CD">
            <w:r>
              <w:t>Podmioty gospodarcze - MŚP</w:t>
            </w:r>
          </w:p>
        </w:tc>
        <w:tc>
          <w:tcPr>
            <w:tcW w:w="1547" w:type="dxa"/>
            <w:vMerge/>
          </w:tcPr>
          <w:p w:rsidR="008E55CD" w:rsidRDefault="008E55CD" w:rsidP="008E55CD"/>
        </w:tc>
        <w:tc>
          <w:tcPr>
            <w:tcW w:w="1726" w:type="dxa"/>
          </w:tcPr>
          <w:p w:rsidR="008E55CD" w:rsidRDefault="008E55CD" w:rsidP="008E55CD">
            <w:pPr>
              <w:jc w:val="center"/>
            </w:pPr>
            <w:r w:rsidRPr="005143B5">
              <w:t>0,00</w:t>
            </w:r>
          </w:p>
        </w:tc>
        <w:tc>
          <w:tcPr>
            <w:tcW w:w="1098" w:type="dxa"/>
            <w:vAlign w:val="center"/>
          </w:tcPr>
          <w:p w:rsidR="008E55CD" w:rsidRPr="00063FF3" w:rsidRDefault="008E55CD" w:rsidP="008E55CD">
            <w:pPr>
              <w:jc w:val="center"/>
              <w:rPr>
                <w:rFonts w:ascii="Arial Narrow" w:hAnsi="Arial Narrow"/>
                <w:sz w:val="24"/>
                <w:szCs w:val="24"/>
              </w:rPr>
            </w:pPr>
            <w:r w:rsidRPr="00063FF3">
              <w:rPr>
                <w:rFonts w:ascii="Arial Narrow" w:hAnsi="Arial Narrow"/>
                <w:sz w:val="24"/>
                <w:szCs w:val="24"/>
              </w:rPr>
              <w:t>Operacje klasyczne</w:t>
            </w:r>
          </w:p>
        </w:tc>
      </w:tr>
      <w:tr w:rsidR="008E55CD" w:rsidTr="008E55CD">
        <w:trPr>
          <w:trHeight w:val="405"/>
        </w:trPr>
        <w:tc>
          <w:tcPr>
            <w:tcW w:w="1404" w:type="dxa"/>
            <w:vMerge/>
            <w:shd w:val="clear" w:color="auto" w:fill="E2EFD9" w:themeFill="accent6" w:themeFillTint="33"/>
            <w:textDirection w:val="btLr"/>
          </w:tcPr>
          <w:p w:rsidR="008E55CD" w:rsidRDefault="008E55CD" w:rsidP="008E55CD">
            <w:pPr>
              <w:ind w:left="113" w:right="113"/>
            </w:pPr>
          </w:p>
        </w:tc>
        <w:tc>
          <w:tcPr>
            <w:tcW w:w="2960" w:type="dxa"/>
            <w:vMerge w:val="restart"/>
          </w:tcPr>
          <w:p w:rsidR="008E55CD" w:rsidRDefault="008E55CD" w:rsidP="008E55CD">
            <w:r>
              <w:rPr>
                <w:rFonts w:ascii="Calibri" w:hAnsi="Calibri" w:cs="Calibri"/>
              </w:rPr>
              <w:t xml:space="preserve">P.I.3 </w:t>
            </w:r>
            <w:r>
              <w:rPr>
                <w:rFonts w:cstheme="minorHAnsi"/>
              </w:rPr>
              <w:t>ROZWÓJ POZAROLNICZYCH FUNKCJI GOSPODARSTW ROLNYCH</w:t>
            </w:r>
          </w:p>
        </w:tc>
        <w:tc>
          <w:tcPr>
            <w:tcW w:w="3569" w:type="dxa"/>
          </w:tcPr>
          <w:p w:rsidR="008E55CD" w:rsidRDefault="008E55CD" w:rsidP="008E55CD">
            <w:pPr>
              <w:rPr>
                <w:rFonts w:ascii="Calibri" w:hAnsi="Calibri" w:cs="Calibri"/>
                <w:color w:val="000000"/>
              </w:rPr>
            </w:pPr>
            <w:r>
              <w:rPr>
                <w:rFonts w:ascii="Calibri" w:hAnsi="Calibri" w:cs="Calibri"/>
                <w:color w:val="000000"/>
              </w:rPr>
              <w:t>Liczba utworzonych zagród edukacyjnych</w:t>
            </w:r>
          </w:p>
        </w:tc>
        <w:tc>
          <w:tcPr>
            <w:tcW w:w="1690" w:type="dxa"/>
            <w:vMerge w:val="restart"/>
          </w:tcPr>
          <w:p w:rsidR="008E55CD" w:rsidRDefault="008E55CD" w:rsidP="008E55CD">
            <w:r>
              <w:t>Osoba fizyczna prowadząca gospodarstwo rolne</w:t>
            </w:r>
          </w:p>
        </w:tc>
        <w:tc>
          <w:tcPr>
            <w:tcW w:w="1547" w:type="dxa"/>
            <w:vMerge/>
          </w:tcPr>
          <w:p w:rsidR="008E55CD" w:rsidRDefault="008E55CD" w:rsidP="008E55CD"/>
        </w:tc>
        <w:tc>
          <w:tcPr>
            <w:tcW w:w="1726" w:type="dxa"/>
            <w:vMerge w:val="restart"/>
          </w:tcPr>
          <w:p w:rsidR="008E55CD" w:rsidRDefault="008E55CD" w:rsidP="008E55CD">
            <w:pPr>
              <w:jc w:val="center"/>
            </w:pPr>
            <w:r w:rsidRPr="005143B5">
              <w:t>0,00</w:t>
            </w:r>
          </w:p>
        </w:tc>
        <w:tc>
          <w:tcPr>
            <w:tcW w:w="1098" w:type="dxa"/>
            <w:vMerge w:val="restart"/>
            <w:vAlign w:val="center"/>
          </w:tcPr>
          <w:p w:rsidR="008E55CD" w:rsidRPr="00063FF3" w:rsidRDefault="008E55CD" w:rsidP="008E55CD">
            <w:pPr>
              <w:jc w:val="center"/>
              <w:rPr>
                <w:rFonts w:ascii="Arial Narrow" w:hAnsi="Arial Narrow"/>
                <w:sz w:val="24"/>
                <w:szCs w:val="24"/>
              </w:rPr>
            </w:pPr>
            <w:r w:rsidRPr="00063FF3">
              <w:rPr>
                <w:rFonts w:ascii="Arial Narrow" w:hAnsi="Arial Narrow"/>
                <w:sz w:val="24"/>
                <w:szCs w:val="24"/>
              </w:rPr>
              <w:t>Operacje klasyczne</w:t>
            </w:r>
          </w:p>
        </w:tc>
      </w:tr>
      <w:tr w:rsidR="008E55CD" w:rsidTr="008E55CD">
        <w:trPr>
          <w:trHeight w:val="410"/>
        </w:trPr>
        <w:tc>
          <w:tcPr>
            <w:tcW w:w="1404" w:type="dxa"/>
            <w:vMerge/>
            <w:shd w:val="clear" w:color="auto" w:fill="E2EFD9" w:themeFill="accent6" w:themeFillTint="33"/>
            <w:textDirection w:val="btLr"/>
          </w:tcPr>
          <w:p w:rsidR="008E55CD" w:rsidRDefault="008E55CD" w:rsidP="008E55CD">
            <w:pPr>
              <w:ind w:left="113" w:right="113"/>
            </w:pPr>
          </w:p>
        </w:tc>
        <w:tc>
          <w:tcPr>
            <w:tcW w:w="2960" w:type="dxa"/>
            <w:vMerge/>
          </w:tcPr>
          <w:p w:rsidR="008E55CD" w:rsidRDefault="008E55CD" w:rsidP="008E55CD">
            <w:pPr>
              <w:rPr>
                <w:rFonts w:ascii="Calibri" w:hAnsi="Calibri" w:cs="Calibri"/>
              </w:rPr>
            </w:pPr>
          </w:p>
        </w:tc>
        <w:tc>
          <w:tcPr>
            <w:tcW w:w="3569" w:type="dxa"/>
          </w:tcPr>
          <w:p w:rsidR="008E55CD" w:rsidRDefault="008E55CD" w:rsidP="008E55CD">
            <w:pPr>
              <w:rPr>
                <w:rFonts w:ascii="Calibri" w:hAnsi="Calibri" w:cs="Calibri"/>
                <w:color w:val="000000"/>
              </w:rPr>
            </w:pPr>
            <w:r>
              <w:rPr>
                <w:rFonts w:ascii="Calibri" w:hAnsi="Calibri" w:cs="Calibri"/>
                <w:color w:val="000000"/>
              </w:rPr>
              <w:t xml:space="preserve">Liczba osób o statusie rolników niskotowarowych zaangażowanych w </w:t>
            </w:r>
            <w:r>
              <w:rPr>
                <w:rFonts w:ascii="Calibri" w:hAnsi="Calibri" w:cs="Calibri"/>
                <w:color w:val="000000"/>
              </w:rPr>
              <w:lastRenderedPageBreak/>
              <w:t>rozwijanie pozarolniczych funkcji gospodarstw rolnych</w:t>
            </w:r>
          </w:p>
        </w:tc>
        <w:tc>
          <w:tcPr>
            <w:tcW w:w="1690" w:type="dxa"/>
            <w:vMerge/>
          </w:tcPr>
          <w:p w:rsidR="008E55CD" w:rsidRDefault="008E55CD" w:rsidP="008E55CD"/>
        </w:tc>
        <w:tc>
          <w:tcPr>
            <w:tcW w:w="1547" w:type="dxa"/>
            <w:vMerge/>
          </w:tcPr>
          <w:p w:rsidR="008E55CD" w:rsidRDefault="008E55CD" w:rsidP="008E55CD"/>
        </w:tc>
        <w:tc>
          <w:tcPr>
            <w:tcW w:w="1726" w:type="dxa"/>
            <w:vMerge/>
          </w:tcPr>
          <w:p w:rsidR="008E55CD" w:rsidRDefault="008E55CD" w:rsidP="008E55CD">
            <w:pPr>
              <w:jc w:val="center"/>
            </w:pPr>
          </w:p>
        </w:tc>
        <w:tc>
          <w:tcPr>
            <w:tcW w:w="1098" w:type="dxa"/>
            <w:vMerge/>
          </w:tcPr>
          <w:p w:rsidR="008E55CD" w:rsidRDefault="008E55CD" w:rsidP="008E55CD"/>
        </w:tc>
      </w:tr>
      <w:tr w:rsidR="008E55CD" w:rsidTr="008E55CD">
        <w:tc>
          <w:tcPr>
            <w:tcW w:w="1404" w:type="dxa"/>
            <w:vMerge w:val="restart"/>
            <w:shd w:val="clear" w:color="auto" w:fill="E2EFD9" w:themeFill="accent6" w:themeFillTint="33"/>
            <w:textDirection w:val="btLr"/>
            <w:vAlign w:val="center"/>
          </w:tcPr>
          <w:p w:rsidR="008E55CD" w:rsidRDefault="008E55CD" w:rsidP="008E55CD">
            <w:pPr>
              <w:ind w:left="113" w:right="113"/>
            </w:pPr>
            <w:r>
              <w:rPr>
                <w:rFonts w:cstheme="minorHAnsi"/>
                <w:b/>
              </w:rPr>
              <w:t>AKTYWNE SPOLECZEŃSTWO, WSPÓŁPRACA I TOŻSAMOŚĆ LOKALNA</w:t>
            </w:r>
          </w:p>
        </w:tc>
        <w:tc>
          <w:tcPr>
            <w:tcW w:w="2960" w:type="dxa"/>
          </w:tcPr>
          <w:p w:rsidR="008E55CD" w:rsidRDefault="008E55CD" w:rsidP="008E55CD">
            <w:pPr>
              <w:rPr>
                <w:rFonts w:ascii="Calibri" w:hAnsi="Calibri" w:cs="Calibri"/>
              </w:rPr>
            </w:pPr>
            <w:r>
              <w:rPr>
                <w:rFonts w:cstheme="minorHAnsi"/>
              </w:rPr>
              <w:t>P.II.1 POPRAWA DOSTĘPU DO USŁUG DLA LOKALNEJ SPOŁECZNOŚCI</w:t>
            </w:r>
          </w:p>
          <w:p w:rsidR="008E55CD" w:rsidRDefault="008E55CD" w:rsidP="008E55CD"/>
        </w:tc>
        <w:tc>
          <w:tcPr>
            <w:tcW w:w="3569" w:type="dxa"/>
          </w:tcPr>
          <w:p w:rsidR="008E55CD" w:rsidRDefault="008E55CD" w:rsidP="008E55CD">
            <w:r>
              <w:rPr>
                <w:rFonts w:ascii="Calibri" w:hAnsi="Calibri" w:cs="Calibri"/>
                <w:color w:val="000000"/>
              </w:rPr>
              <w:t>Liczba wyposażonych miejsc, w których świadczone są usługi społeczne</w:t>
            </w:r>
          </w:p>
        </w:tc>
        <w:tc>
          <w:tcPr>
            <w:tcW w:w="1690" w:type="dxa"/>
          </w:tcPr>
          <w:p w:rsidR="008E55CD" w:rsidRDefault="008E55CD" w:rsidP="008E55CD">
            <w:r>
              <w:t>JSFP, organizacje pozarządowe</w:t>
            </w:r>
          </w:p>
        </w:tc>
        <w:tc>
          <w:tcPr>
            <w:tcW w:w="1547" w:type="dxa"/>
            <w:vMerge w:val="restart"/>
            <w:vAlign w:val="center"/>
          </w:tcPr>
          <w:p w:rsidR="008E55CD" w:rsidRDefault="008E55CD" w:rsidP="008E55CD">
            <w:pPr>
              <w:jc w:val="center"/>
            </w:pPr>
            <w:r>
              <w:t>___</w:t>
            </w:r>
          </w:p>
        </w:tc>
        <w:tc>
          <w:tcPr>
            <w:tcW w:w="1726" w:type="dxa"/>
          </w:tcPr>
          <w:p w:rsidR="008E55CD" w:rsidRDefault="008E55CD" w:rsidP="008E55CD">
            <w:pPr>
              <w:jc w:val="center"/>
            </w:pPr>
            <w:r w:rsidRPr="005143B5">
              <w:t>0,00</w:t>
            </w:r>
          </w:p>
        </w:tc>
        <w:tc>
          <w:tcPr>
            <w:tcW w:w="1098" w:type="dxa"/>
            <w:vAlign w:val="center"/>
          </w:tcPr>
          <w:p w:rsidR="008E55CD" w:rsidRPr="00063FF3" w:rsidRDefault="008E55CD" w:rsidP="008E55CD">
            <w:pPr>
              <w:jc w:val="center"/>
              <w:rPr>
                <w:rFonts w:ascii="Arial Narrow" w:hAnsi="Arial Narrow"/>
                <w:sz w:val="24"/>
                <w:szCs w:val="24"/>
              </w:rPr>
            </w:pPr>
            <w:r w:rsidRPr="00063FF3">
              <w:rPr>
                <w:rFonts w:ascii="Arial Narrow" w:hAnsi="Arial Narrow"/>
                <w:sz w:val="24"/>
                <w:szCs w:val="24"/>
              </w:rPr>
              <w:t>Operacje klasyczne</w:t>
            </w:r>
          </w:p>
        </w:tc>
      </w:tr>
      <w:tr w:rsidR="008E55CD" w:rsidTr="008E55CD">
        <w:tc>
          <w:tcPr>
            <w:tcW w:w="1404" w:type="dxa"/>
            <w:vMerge/>
            <w:shd w:val="clear" w:color="auto" w:fill="E2EFD9" w:themeFill="accent6" w:themeFillTint="33"/>
          </w:tcPr>
          <w:p w:rsidR="008E55CD" w:rsidRDefault="008E55CD" w:rsidP="008E55CD"/>
        </w:tc>
        <w:tc>
          <w:tcPr>
            <w:tcW w:w="2960" w:type="dxa"/>
          </w:tcPr>
          <w:p w:rsidR="008E55CD" w:rsidRDefault="008E55CD" w:rsidP="008E55CD">
            <w:r>
              <w:rPr>
                <w:rFonts w:ascii="Calibri" w:hAnsi="Calibri" w:cs="Calibri"/>
              </w:rPr>
              <w:t xml:space="preserve">P.II.3 </w:t>
            </w:r>
            <w:r>
              <w:rPr>
                <w:rFonts w:cstheme="minorHAnsi"/>
              </w:rPr>
              <w:t>POPRAWA DOSTĘPU DO MAŁEJ INFRASTRUKTURY PUBLICZNEJ</w:t>
            </w:r>
          </w:p>
        </w:tc>
        <w:tc>
          <w:tcPr>
            <w:tcW w:w="3569" w:type="dxa"/>
          </w:tcPr>
          <w:p w:rsidR="008E55CD" w:rsidRDefault="008E55CD" w:rsidP="008E55CD">
            <w:r>
              <w:rPr>
                <w:rFonts w:ascii="Calibri" w:hAnsi="Calibri" w:cs="Calibri"/>
                <w:color w:val="000000"/>
              </w:rPr>
              <w:t>Liczba nowych / zmodernizowanych przestrzeni publicznych</w:t>
            </w:r>
          </w:p>
        </w:tc>
        <w:tc>
          <w:tcPr>
            <w:tcW w:w="1690" w:type="dxa"/>
          </w:tcPr>
          <w:p w:rsidR="008E55CD" w:rsidRDefault="008E55CD" w:rsidP="008E55CD">
            <w:r>
              <w:t>JSFP, organizacje pozarządowe</w:t>
            </w:r>
          </w:p>
        </w:tc>
        <w:tc>
          <w:tcPr>
            <w:tcW w:w="1547" w:type="dxa"/>
            <w:vMerge/>
          </w:tcPr>
          <w:p w:rsidR="008E55CD" w:rsidRDefault="008E55CD" w:rsidP="008E55CD"/>
        </w:tc>
        <w:tc>
          <w:tcPr>
            <w:tcW w:w="1726" w:type="dxa"/>
          </w:tcPr>
          <w:p w:rsidR="008E55CD" w:rsidRDefault="008E55CD" w:rsidP="008E55CD">
            <w:pPr>
              <w:jc w:val="center"/>
            </w:pPr>
            <w:r w:rsidRPr="005143B5">
              <w:t>0,00</w:t>
            </w:r>
          </w:p>
        </w:tc>
        <w:tc>
          <w:tcPr>
            <w:tcW w:w="1098" w:type="dxa"/>
            <w:vAlign w:val="center"/>
          </w:tcPr>
          <w:p w:rsidR="008E55CD" w:rsidRPr="00063FF3" w:rsidRDefault="008E55CD" w:rsidP="008E55CD">
            <w:pPr>
              <w:jc w:val="center"/>
              <w:rPr>
                <w:rFonts w:ascii="Arial Narrow" w:hAnsi="Arial Narrow"/>
                <w:sz w:val="24"/>
                <w:szCs w:val="24"/>
              </w:rPr>
            </w:pPr>
            <w:r w:rsidRPr="00063FF3">
              <w:rPr>
                <w:rFonts w:ascii="Arial Narrow" w:hAnsi="Arial Narrow"/>
                <w:sz w:val="24"/>
                <w:szCs w:val="24"/>
              </w:rPr>
              <w:t>Operacje klasyczne</w:t>
            </w:r>
          </w:p>
        </w:tc>
      </w:tr>
      <w:tr w:rsidR="008E55CD" w:rsidTr="008E55CD">
        <w:tc>
          <w:tcPr>
            <w:tcW w:w="1404" w:type="dxa"/>
            <w:vMerge/>
            <w:shd w:val="clear" w:color="auto" w:fill="E2EFD9" w:themeFill="accent6" w:themeFillTint="33"/>
          </w:tcPr>
          <w:p w:rsidR="008E55CD" w:rsidRDefault="008E55CD" w:rsidP="008E55CD"/>
        </w:tc>
        <w:tc>
          <w:tcPr>
            <w:tcW w:w="2960" w:type="dxa"/>
          </w:tcPr>
          <w:p w:rsidR="008E55CD" w:rsidRDefault="008E55CD" w:rsidP="008E55CD">
            <w:pPr>
              <w:rPr>
                <w:rFonts w:ascii="Calibri" w:hAnsi="Calibri" w:cs="Calibri"/>
              </w:rPr>
            </w:pPr>
            <w:r>
              <w:rPr>
                <w:rFonts w:ascii="Calibri" w:hAnsi="Calibri" w:cs="Calibri"/>
              </w:rPr>
              <w:t xml:space="preserve">P.II.4 </w:t>
            </w:r>
            <w:r>
              <w:rPr>
                <w:rFonts w:cstheme="minorHAnsi"/>
              </w:rPr>
              <w:t>ŚWIADOMOSĆ OBYWATELSKA I AKTYWNI LIDERZY</w:t>
            </w:r>
          </w:p>
          <w:p w:rsidR="008E55CD" w:rsidRDefault="008E55CD" w:rsidP="008E55CD"/>
        </w:tc>
        <w:tc>
          <w:tcPr>
            <w:tcW w:w="3569" w:type="dxa"/>
          </w:tcPr>
          <w:p w:rsidR="008E55CD" w:rsidRDefault="008E55CD" w:rsidP="008E55CD">
            <w:r>
              <w:rPr>
                <w:rFonts w:ascii="Calibri" w:hAnsi="Calibri" w:cs="Calibri"/>
                <w:color w:val="000000"/>
              </w:rPr>
              <w:t>Liczba centrów inkubowania aktywności społecznej i liderów lokalnych</w:t>
            </w:r>
          </w:p>
        </w:tc>
        <w:tc>
          <w:tcPr>
            <w:tcW w:w="1690" w:type="dxa"/>
          </w:tcPr>
          <w:p w:rsidR="008E55CD" w:rsidRDefault="008E55CD" w:rsidP="008E55CD">
            <w:r>
              <w:t>LGD</w:t>
            </w:r>
          </w:p>
        </w:tc>
        <w:tc>
          <w:tcPr>
            <w:tcW w:w="1547" w:type="dxa"/>
            <w:vMerge/>
          </w:tcPr>
          <w:p w:rsidR="008E55CD" w:rsidRDefault="008E55CD" w:rsidP="008E55CD"/>
        </w:tc>
        <w:tc>
          <w:tcPr>
            <w:tcW w:w="1726" w:type="dxa"/>
          </w:tcPr>
          <w:p w:rsidR="008E55CD" w:rsidRDefault="008E55CD" w:rsidP="008E55CD">
            <w:pPr>
              <w:jc w:val="center"/>
            </w:pPr>
            <w:r w:rsidRPr="005143B5">
              <w:t>0,00</w:t>
            </w:r>
          </w:p>
        </w:tc>
        <w:tc>
          <w:tcPr>
            <w:tcW w:w="1098" w:type="dxa"/>
            <w:vAlign w:val="center"/>
          </w:tcPr>
          <w:p w:rsidR="008E55CD" w:rsidRPr="00063FF3" w:rsidRDefault="008E55CD" w:rsidP="008E55CD">
            <w:pPr>
              <w:jc w:val="center"/>
              <w:rPr>
                <w:rFonts w:ascii="Arial Narrow" w:hAnsi="Arial Narrow"/>
                <w:sz w:val="24"/>
                <w:szCs w:val="24"/>
              </w:rPr>
            </w:pPr>
            <w:r w:rsidRPr="00063FF3">
              <w:rPr>
                <w:rFonts w:ascii="Arial Narrow" w:hAnsi="Arial Narrow"/>
                <w:sz w:val="24"/>
                <w:szCs w:val="24"/>
              </w:rPr>
              <w:t>Operacja własna</w:t>
            </w:r>
          </w:p>
        </w:tc>
      </w:tr>
      <w:tr w:rsidR="008E55CD" w:rsidTr="008E55CD">
        <w:trPr>
          <w:trHeight w:val="1311"/>
        </w:trPr>
        <w:tc>
          <w:tcPr>
            <w:tcW w:w="1404" w:type="dxa"/>
            <w:vMerge/>
            <w:shd w:val="clear" w:color="auto" w:fill="E2EFD9" w:themeFill="accent6" w:themeFillTint="33"/>
          </w:tcPr>
          <w:p w:rsidR="008E55CD" w:rsidRDefault="008E55CD" w:rsidP="008E55CD"/>
        </w:tc>
        <w:tc>
          <w:tcPr>
            <w:tcW w:w="2960" w:type="dxa"/>
          </w:tcPr>
          <w:p w:rsidR="008E55CD" w:rsidRDefault="008E55CD" w:rsidP="008E55CD">
            <w:r>
              <w:rPr>
                <w:rFonts w:ascii="Calibri" w:hAnsi="Calibri" w:cs="Calibri"/>
              </w:rPr>
              <w:t xml:space="preserve">P.II.5 </w:t>
            </w:r>
            <w:r>
              <w:rPr>
                <w:rFonts w:cstheme="minorHAnsi"/>
              </w:rPr>
              <w:t>WŁĄCZENIE SPOŁECZNE OSÓB W NIEKORZYSTNEJ SYTUACJI, MŁODYCH I SENIORÓW</w:t>
            </w:r>
          </w:p>
        </w:tc>
        <w:tc>
          <w:tcPr>
            <w:tcW w:w="3569" w:type="dxa"/>
          </w:tcPr>
          <w:p w:rsidR="008E55CD" w:rsidRDefault="008E55CD" w:rsidP="008E55CD">
            <w:pPr>
              <w:rPr>
                <w:rFonts w:ascii="Calibri" w:hAnsi="Calibri" w:cs="Calibri"/>
                <w:color w:val="000000"/>
              </w:rPr>
            </w:pPr>
            <w:r>
              <w:rPr>
                <w:rFonts w:ascii="Calibri" w:hAnsi="Calibri" w:cs="Calibri"/>
                <w:color w:val="000000"/>
              </w:rPr>
              <w:t>Liczba operacji w zakresie włączenia społecznego osób młodych i seniorów</w:t>
            </w:r>
          </w:p>
        </w:tc>
        <w:tc>
          <w:tcPr>
            <w:tcW w:w="1690" w:type="dxa"/>
          </w:tcPr>
          <w:p w:rsidR="008E55CD" w:rsidRDefault="008E55CD" w:rsidP="008E55CD">
            <w:r>
              <w:t>JSFP, organizacje pozarządowe</w:t>
            </w:r>
          </w:p>
        </w:tc>
        <w:tc>
          <w:tcPr>
            <w:tcW w:w="1547" w:type="dxa"/>
            <w:vMerge/>
          </w:tcPr>
          <w:p w:rsidR="008E55CD" w:rsidRDefault="008E55CD" w:rsidP="008E55CD"/>
        </w:tc>
        <w:tc>
          <w:tcPr>
            <w:tcW w:w="1726" w:type="dxa"/>
          </w:tcPr>
          <w:p w:rsidR="008E55CD" w:rsidRDefault="008E55CD" w:rsidP="008E55CD">
            <w:pPr>
              <w:jc w:val="center"/>
            </w:pPr>
            <w:r w:rsidRPr="005143B5">
              <w:t>0,00</w:t>
            </w:r>
          </w:p>
        </w:tc>
        <w:tc>
          <w:tcPr>
            <w:tcW w:w="1098" w:type="dxa"/>
            <w:vAlign w:val="center"/>
          </w:tcPr>
          <w:p w:rsidR="008E55CD" w:rsidRPr="00063FF3" w:rsidRDefault="008E55CD" w:rsidP="008E55CD">
            <w:pPr>
              <w:jc w:val="center"/>
              <w:rPr>
                <w:rFonts w:ascii="Arial Narrow" w:hAnsi="Arial Narrow"/>
                <w:sz w:val="24"/>
                <w:szCs w:val="24"/>
              </w:rPr>
            </w:pPr>
            <w:r w:rsidRPr="00063FF3">
              <w:rPr>
                <w:rFonts w:ascii="Arial Narrow" w:hAnsi="Arial Narrow"/>
                <w:sz w:val="24"/>
                <w:szCs w:val="24"/>
              </w:rPr>
              <w:t>Operacje klasyczne</w:t>
            </w:r>
          </w:p>
        </w:tc>
      </w:tr>
      <w:bookmarkEnd w:id="0"/>
    </w:tbl>
    <w:p w:rsidR="00282513" w:rsidRDefault="00282513"/>
    <w:sectPr w:rsidR="00282513" w:rsidSect="00F5576A">
      <w:headerReference w:type="default" r:id="rId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D61" w:rsidRDefault="00240D61" w:rsidP="00F5576A">
      <w:pPr>
        <w:spacing w:after="0" w:line="240" w:lineRule="auto"/>
      </w:pPr>
      <w:r>
        <w:separator/>
      </w:r>
    </w:p>
  </w:endnote>
  <w:endnote w:type="continuationSeparator" w:id="0">
    <w:p w:rsidR="00240D61" w:rsidRDefault="00240D61" w:rsidP="00F55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D61" w:rsidRDefault="00240D61" w:rsidP="00F5576A">
      <w:pPr>
        <w:spacing w:after="0" w:line="240" w:lineRule="auto"/>
      </w:pPr>
      <w:r>
        <w:separator/>
      </w:r>
    </w:p>
  </w:footnote>
  <w:footnote w:type="continuationSeparator" w:id="0">
    <w:p w:rsidR="00240D61" w:rsidRDefault="00240D61" w:rsidP="00F55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76A" w:rsidRDefault="00F5576A">
    <w:pPr>
      <w:pStyle w:val="Nagwek"/>
    </w:pPr>
    <w:r>
      <w:rPr>
        <w:noProof/>
      </w:rPr>
      <w:drawing>
        <wp:anchor distT="0" distB="0" distL="114300" distR="114300" simplePos="0" relativeHeight="251658240" behindDoc="1" locked="0" layoutInCell="1" allowOverlap="1" wp14:anchorId="1050BD5A">
          <wp:simplePos x="0" y="0"/>
          <wp:positionH relativeFrom="margin">
            <wp:posOffset>3853180</wp:posOffset>
          </wp:positionH>
          <wp:positionV relativeFrom="paragraph">
            <wp:posOffset>-40005</wp:posOffset>
          </wp:positionV>
          <wp:extent cx="762000" cy="790575"/>
          <wp:effectExtent l="0" t="0" r="0" b="9525"/>
          <wp:wrapTight wrapText="bothSides">
            <wp:wrapPolygon edited="0">
              <wp:start x="0" y="0"/>
              <wp:lineTo x="0" y="21340"/>
              <wp:lineTo x="21060" y="21340"/>
              <wp:lineTo x="21060" y="0"/>
              <wp:lineTo x="0" y="0"/>
            </wp:wrapPolygon>
          </wp:wrapTight>
          <wp:docPr id="4" name="Obraz 4"/>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790575"/>
                  </a:xfrm>
                  <a:prstGeom prst="rect">
                    <a:avLst/>
                  </a:prstGeom>
                  <a:noFill/>
                  <a:ln>
                    <a:noFill/>
                  </a:ln>
                </pic:spPr>
              </pic:pic>
            </a:graphicData>
          </a:graphic>
          <wp14:sizeRelH relativeFrom="margin">
            <wp14:pctWidth>0</wp14:pctWidth>
          </wp14:sizeRelH>
        </wp:anchor>
      </w:drawing>
    </w:r>
    <w:r>
      <w:rPr>
        <w:noProof/>
      </w:rPr>
      <w:drawing>
        <wp:anchor distT="0" distB="0" distL="114300" distR="114300" simplePos="0" relativeHeight="251660288" behindDoc="1" locked="0" layoutInCell="1" allowOverlap="1" wp14:anchorId="2B4CE2F1">
          <wp:simplePos x="0" y="0"/>
          <wp:positionH relativeFrom="margin">
            <wp:align>right</wp:align>
          </wp:positionH>
          <wp:positionV relativeFrom="paragraph">
            <wp:posOffset>26670</wp:posOffset>
          </wp:positionV>
          <wp:extent cx="2859405" cy="635000"/>
          <wp:effectExtent l="0" t="0" r="0" b="0"/>
          <wp:wrapTight wrapText="bothSides">
            <wp:wrapPolygon edited="0">
              <wp:start x="0" y="0"/>
              <wp:lineTo x="0" y="20736"/>
              <wp:lineTo x="21442" y="20736"/>
              <wp:lineTo x="21442" y="0"/>
              <wp:lineTo x="0" y="0"/>
            </wp:wrapPolygon>
          </wp:wrapTight>
          <wp:docPr id="64" name="Obraz 64"/>
          <wp:cNvGraphicFramePr/>
          <a:graphic xmlns:a="http://schemas.openxmlformats.org/drawingml/2006/main">
            <a:graphicData uri="http://schemas.openxmlformats.org/drawingml/2006/picture">
              <pic:pic xmlns:pic="http://schemas.openxmlformats.org/drawingml/2006/picture">
                <pic:nvPicPr>
                  <pic:cNvPr id="64" name="Obraz 64"/>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59405" cy="635000"/>
                  </a:xfrm>
                  <a:prstGeom prst="rect">
                    <a:avLst/>
                  </a:prstGeom>
                </pic:spPr>
              </pic:pic>
            </a:graphicData>
          </a:graphic>
        </wp:anchor>
      </w:drawing>
    </w:r>
    <w:r>
      <w:rPr>
        <w:noProof/>
      </w:rPr>
      <w:drawing>
        <wp:anchor distT="0" distB="0" distL="114300" distR="114300" simplePos="0" relativeHeight="251659264" behindDoc="1" locked="0" layoutInCell="1" allowOverlap="1" wp14:anchorId="5B0F01E1">
          <wp:simplePos x="0" y="0"/>
          <wp:positionH relativeFrom="margin">
            <wp:posOffset>157480</wp:posOffset>
          </wp:positionH>
          <wp:positionV relativeFrom="paragraph">
            <wp:posOffset>-87630</wp:posOffset>
          </wp:positionV>
          <wp:extent cx="1635760" cy="923925"/>
          <wp:effectExtent l="0" t="0" r="2540" b="9525"/>
          <wp:wrapTight wrapText="bothSides">
            <wp:wrapPolygon edited="0">
              <wp:start x="0" y="0"/>
              <wp:lineTo x="0" y="21377"/>
              <wp:lineTo x="21382" y="21377"/>
              <wp:lineTo x="21382" y="0"/>
              <wp:lineTo x="0" y="0"/>
            </wp:wrapPolygon>
          </wp:wrapTight>
          <wp:docPr id="65" name="Obraz 65"/>
          <wp:cNvGraphicFramePr/>
          <a:graphic xmlns:a="http://schemas.openxmlformats.org/drawingml/2006/main">
            <a:graphicData uri="http://schemas.openxmlformats.org/drawingml/2006/picture">
              <pic:pic xmlns:pic="http://schemas.openxmlformats.org/drawingml/2006/picture">
                <pic:nvPicPr>
                  <pic:cNvPr id="65" name="Obraz 65"/>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35760" cy="9239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76A"/>
    <w:rsid w:val="00063FF3"/>
    <w:rsid w:val="00240D61"/>
    <w:rsid w:val="00282513"/>
    <w:rsid w:val="002C7140"/>
    <w:rsid w:val="00551752"/>
    <w:rsid w:val="00602969"/>
    <w:rsid w:val="008E55CD"/>
    <w:rsid w:val="00AC7416"/>
    <w:rsid w:val="00BF2D6B"/>
    <w:rsid w:val="00F557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7946E"/>
  <w15:chartTrackingRefBased/>
  <w15:docId w15:val="{CDB01E66-2753-418F-A14F-7C9539D55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55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557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576A"/>
  </w:style>
  <w:style w:type="paragraph" w:styleId="Stopka">
    <w:name w:val="footer"/>
    <w:basedOn w:val="Normalny"/>
    <w:link w:val="StopkaZnak"/>
    <w:uiPriority w:val="99"/>
    <w:unhideWhenUsed/>
    <w:rsid w:val="00F557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5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3513">
      <w:bodyDiv w:val="1"/>
      <w:marLeft w:val="0"/>
      <w:marRight w:val="0"/>
      <w:marTop w:val="0"/>
      <w:marBottom w:val="0"/>
      <w:divBdr>
        <w:top w:val="none" w:sz="0" w:space="0" w:color="auto"/>
        <w:left w:val="none" w:sz="0" w:space="0" w:color="auto"/>
        <w:bottom w:val="none" w:sz="0" w:space="0" w:color="auto"/>
        <w:right w:val="none" w:sz="0" w:space="0" w:color="auto"/>
      </w:divBdr>
    </w:div>
    <w:div w:id="44453530">
      <w:bodyDiv w:val="1"/>
      <w:marLeft w:val="0"/>
      <w:marRight w:val="0"/>
      <w:marTop w:val="0"/>
      <w:marBottom w:val="0"/>
      <w:divBdr>
        <w:top w:val="none" w:sz="0" w:space="0" w:color="auto"/>
        <w:left w:val="none" w:sz="0" w:space="0" w:color="auto"/>
        <w:bottom w:val="none" w:sz="0" w:space="0" w:color="auto"/>
        <w:right w:val="none" w:sz="0" w:space="0" w:color="auto"/>
      </w:divBdr>
    </w:div>
    <w:div w:id="701398405">
      <w:bodyDiv w:val="1"/>
      <w:marLeft w:val="0"/>
      <w:marRight w:val="0"/>
      <w:marTop w:val="0"/>
      <w:marBottom w:val="0"/>
      <w:divBdr>
        <w:top w:val="none" w:sz="0" w:space="0" w:color="auto"/>
        <w:left w:val="none" w:sz="0" w:space="0" w:color="auto"/>
        <w:bottom w:val="none" w:sz="0" w:space="0" w:color="auto"/>
        <w:right w:val="none" w:sz="0" w:space="0" w:color="auto"/>
      </w:divBdr>
    </w:div>
    <w:div w:id="866675194">
      <w:bodyDiv w:val="1"/>
      <w:marLeft w:val="0"/>
      <w:marRight w:val="0"/>
      <w:marTop w:val="0"/>
      <w:marBottom w:val="0"/>
      <w:divBdr>
        <w:top w:val="none" w:sz="0" w:space="0" w:color="auto"/>
        <w:left w:val="none" w:sz="0" w:space="0" w:color="auto"/>
        <w:bottom w:val="none" w:sz="0" w:space="0" w:color="auto"/>
        <w:right w:val="none" w:sz="0" w:space="0" w:color="auto"/>
      </w:divBdr>
    </w:div>
    <w:div w:id="1521967347">
      <w:bodyDiv w:val="1"/>
      <w:marLeft w:val="0"/>
      <w:marRight w:val="0"/>
      <w:marTop w:val="0"/>
      <w:marBottom w:val="0"/>
      <w:divBdr>
        <w:top w:val="none" w:sz="0" w:space="0" w:color="auto"/>
        <w:left w:val="none" w:sz="0" w:space="0" w:color="auto"/>
        <w:bottom w:val="none" w:sz="0" w:space="0" w:color="auto"/>
        <w:right w:val="none" w:sz="0" w:space="0" w:color="auto"/>
      </w:divBdr>
    </w:div>
    <w:div w:id="1661158806">
      <w:bodyDiv w:val="1"/>
      <w:marLeft w:val="0"/>
      <w:marRight w:val="0"/>
      <w:marTop w:val="0"/>
      <w:marBottom w:val="0"/>
      <w:divBdr>
        <w:top w:val="none" w:sz="0" w:space="0" w:color="auto"/>
        <w:left w:val="none" w:sz="0" w:space="0" w:color="auto"/>
        <w:bottom w:val="none" w:sz="0" w:space="0" w:color="auto"/>
        <w:right w:val="none" w:sz="0" w:space="0" w:color="auto"/>
      </w:divBdr>
    </w:div>
    <w:div w:id="189341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2060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Ofierska</dc:creator>
  <cp:keywords/>
  <dc:description/>
  <cp:lastModifiedBy>Malgorzata Ofierska</cp:lastModifiedBy>
  <cp:revision>2</cp:revision>
  <cp:lastPrinted>2024-02-16T12:19:00Z</cp:lastPrinted>
  <dcterms:created xsi:type="dcterms:W3CDTF">2024-11-19T07:29:00Z</dcterms:created>
  <dcterms:modified xsi:type="dcterms:W3CDTF">2024-11-19T07:29:00Z</dcterms:modified>
</cp:coreProperties>
</file>